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97D" w:rsidRPr="006627E4" w:rsidRDefault="00EF697D" w:rsidP="003346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8"/>
          <w:lang w:eastAsia="ru-RU"/>
        </w:rPr>
      </w:pPr>
      <w:r w:rsidRPr="006627E4">
        <w:rPr>
          <w:noProof/>
          <w:sz w:val="20"/>
          <w:lang w:eastAsia="ru-RU"/>
        </w:rPr>
        <w:drawing>
          <wp:inline distT="0" distB="0" distL="0" distR="0">
            <wp:extent cx="801384" cy="806953"/>
            <wp:effectExtent l="19050" t="0" r="0" b="0"/>
            <wp:docPr id="6" name="Рисунок 5" descr="http://erazamat.ucoz.kz/logo_kaz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razamat.ucoz.kz/logo_kazn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606" cy="804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27E4">
        <w:rPr>
          <w:noProof/>
          <w:sz w:val="20"/>
          <w:lang w:eastAsia="ru-RU"/>
        </w:rPr>
        <w:drawing>
          <wp:inline distT="0" distB="0" distL="0" distR="0">
            <wp:extent cx="881319" cy="808431"/>
            <wp:effectExtent l="19050" t="0" r="0" b="0"/>
            <wp:docPr id="5" name="Рисунок 2" descr="http://welcome.kaznu.kz/content/main/images/news/5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elcome.kaznu.kz/content/main/images/news/56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837" cy="807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97D" w:rsidRPr="006627E4" w:rsidRDefault="00EF697D" w:rsidP="003346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33465A" w:rsidRDefault="004865CF" w:rsidP="003346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ru-RU"/>
        </w:rPr>
        <w:t xml:space="preserve">АҚПАРАТТЫҚ ХАТ </w:t>
      </w:r>
    </w:p>
    <w:p w:rsidR="004865CF" w:rsidRPr="00EA19C0" w:rsidRDefault="004865CF" w:rsidP="003346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val="kk-KZ" w:eastAsia="ru-RU"/>
        </w:rPr>
      </w:pPr>
      <w:r w:rsidRPr="00EA19C0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val="kk-KZ" w:eastAsia="ru-RU"/>
        </w:rPr>
        <w:t xml:space="preserve">АКАДЕМИК Т.Т.ТӘЖІБАЕВТІҢ </w:t>
      </w:r>
    </w:p>
    <w:p w:rsidR="004865CF" w:rsidRPr="00EA19C0" w:rsidRDefault="004865CF" w:rsidP="003346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val="kk-KZ" w:eastAsia="ru-RU"/>
        </w:rPr>
      </w:pPr>
      <w:r w:rsidRPr="00EA19C0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val="kk-KZ" w:eastAsia="ru-RU"/>
        </w:rPr>
        <w:t>ТУЫЛҒАНЫНЫҢ 108-ЖЫЛДЫҒЫНА АРНАЛҒАН</w:t>
      </w:r>
    </w:p>
    <w:p w:rsidR="00EA19C0" w:rsidRPr="00EA19C0" w:rsidRDefault="004865CF" w:rsidP="003346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val="kk-KZ" w:eastAsia="ru-RU"/>
        </w:rPr>
      </w:pPr>
      <w:r w:rsidRPr="00EA19C0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val="kk-KZ" w:eastAsia="ru-RU"/>
        </w:rPr>
        <w:t>««РУХАНИ ЖАҢҒЫРУ»</w:t>
      </w:r>
      <w:r w:rsidR="00EA19C0" w:rsidRPr="00EA19C0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val="kk-KZ" w:eastAsia="ru-RU"/>
        </w:rPr>
        <w:t xml:space="preserve"> ҰЛТТЫ РУХАНИ ЖАНДАНДЫРУ</w:t>
      </w:r>
    </w:p>
    <w:p w:rsidR="004865CF" w:rsidRPr="00EA19C0" w:rsidRDefault="00EA19C0" w:rsidP="003346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val="kk-KZ" w:eastAsia="ru-RU"/>
        </w:rPr>
      </w:pPr>
      <w:r w:rsidRPr="00EA19C0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val="kk-KZ" w:eastAsia="ru-RU"/>
        </w:rPr>
        <w:t>БАҒДАРЛАМАСЫН ЖҮЗЕГЕ АСЫРУ КОНТЕКСТІНДЕГІ</w:t>
      </w:r>
    </w:p>
    <w:p w:rsidR="00EA19C0" w:rsidRDefault="00EA19C0" w:rsidP="003346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val="kk-KZ" w:eastAsia="ru-RU"/>
        </w:rPr>
      </w:pPr>
      <w:r w:rsidRPr="00EA19C0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val="kk-KZ" w:eastAsia="ru-RU"/>
        </w:rPr>
        <w:t>ҚАЗІРГІ ТАҢДАҒЫ ПСИХОЛОГИЯЛЫҚ ҒЫЛЫМ ЖӘНЕ ТӘЖІРИБЕ»</w:t>
      </w:r>
    </w:p>
    <w:p w:rsidR="00EA19C0" w:rsidRPr="00EA19C0" w:rsidRDefault="00EA19C0" w:rsidP="003346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val="kk-KZ" w:eastAsia="ru-RU"/>
        </w:rPr>
        <w:t>Республикалық ғылыми-әдістемелік конференциясы</w:t>
      </w:r>
    </w:p>
    <w:p w:rsidR="000E7259" w:rsidRPr="006627E4" w:rsidRDefault="000E7259" w:rsidP="00163CFF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val="kk-KZ" w:eastAsia="ru-RU"/>
        </w:rPr>
      </w:pPr>
    </w:p>
    <w:p w:rsidR="000E7259" w:rsidRPr="006627E4" w:rsidRDefault="00EA19C0" w:rsidP="00163CF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745AF">
        <w:rPr>
          <w:rFonts w:ascii="Times New Roman" w:hAnsi="Times New Roman"/>
          <w:b/>
          <w:sz w:val="24"/>
          <w:szCs w:val="24"/>
          <w:lang w:val="kk-KZ"/>
        </w:rPr>
        <w:t xml:space="preserve">Өтетін күні: </w:t>
      </w:r>
      <w:r w:rsidR="00CF0EE3">
        <w:rPr>
          <w:rFonts w:ascii="Times New Roman" w:hAnsi="Times New Roman"/>
          <w:sz w:val="24"/>
          <w:szCs w:val="24"/>
          <w:lang w:val="kk-KZ"/>
        </w:rPr>
        <w:t xml:space="preserve">2018 жылдың 23 АҚПАНЫ </w:t>
      </w:r>
    </w:p>
    <w:p w:rsidR="00CF0EE3" w:rsidRDefault="00EA19C0" w:rsidP="00C60AB6">
      <w:pPr>
        <w:spacing w:after="0" w:line="240" w:lineRule="auto"/>
        <w:contextualSpacing/>
        <w:jc w:val="both"/>
        <w:rPr>
          <w:rFonts w:ascii="Times New Roman" w:hAnsi="Times New Roman"/>
          <w:snapToGrid w:val="0"/>
          <w:spacing w:val="-14"/>
          <w:sz w:val="24"/>
          <w:szCs w:val="24"/>
          <w:lang w:val="kk-KZ"/>
        </w:rPr>
      </w:pPr>
      <w:r w:rsidRPr="004745AF">
        <w:rPr>
          <w:rFonts w:ascii="Times New Roman" w:hAnsi="Times New Roman"/>
          <w:b/>
          <w:snapToGrid w:val="0"/>
          <w:spacing w:val="-14"/>
          <w:sz w:val="24"/>
          <w:szCs w:val="24"/>
          <w:lang w:val="kk-KZ"/>
        </w:rPr>
        <w:t>Өтетін орны:</w:t>
      </w:r>
      <w:r w:rsidR="00CF0EE3">
        <w:rPr>
          <w:rFonts w:ascii="Times New Roman" w:hAnsi="Times New Roman"/>
          <w:snapToGrid w:val="0"/>
          <w:spacing w:val="-14"/>
          <w:sz w:val="24"/>
          <w:szCs w:val="24"/>
          <w:lang w:val="kk-KZ"/>
        </w:rPr>
        <w:t>Қазақстан Республикасы, Алматы қ., әл-Фараби атындағы ҚазҰУ, философия және саясаттану факультетінің оқу ғимараты</w:t>
      </w:r>
    </w:p>
    <w:p w:rsidR="00CF0EE3" w:rsidRPr="00CF0EE3" w:rsidRDefault="00EA19C0" w:rsidP="00C60A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4745AF">
        <w:rPr>
          <w:rFonts w:ascii="Times New Roman" w:hAnsi="Times New Roman"/>
          <w:b/>
          <w:snapToGrid w:val="0"/>
          <w:sz w:val="24"/>
          <w:szCs w:val="24"/>
          <w:lang w:val="kk-KZ"/>
        </w:rPr>
        <w:t>Ұйымдастырушылары:</w:t>
      </w:r>
      <w:r w:rsidR="00CF0EE3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әл</w:t>
      </w:r>
      <w:r w:rsidR="00CF0EE3" w:rsidRPr="00CF0EE3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-Фараби атындағы ҚазҰУ-нің жал</w:t>
      </w:r>
      <w:bookmarkStart w:id="0" w:name="_GoBack"/>
      <w:bookmarkEnd w:id="0"/>
      <w:r w:rsidR="00CF0EE3" w:rsidRPr="00CF0EE3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пы және қолданбалы психология кафедрасы, академик Т.Т. Тәжібаев атындағы этнопедагогика және этнопсихология орталығы.</w:t>
      </w:r>
    </w:p>
    <w:p w:rsidR="003D7DB2" w:rsidRDefault="003D7DB2" w:rsidP="0033465A">
      <w:pPr>
        <w:spacing w:after="0" w:line="240" w:lineRule="auto"/>
        <w:contextualSpacing/>
        <w:jc w:val="both"/>
        <w:rPr>
          <w:rStyle w:val="apple-converted-space"/>
          <w:rFonts w:ascii="Times New Roman" w:hAnsi="Times New Roman" w:cs="Times New Roman"/>
          <w:sz w:val="24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Конференция мақсаты</w:t>
      </w:r>
      <w:r w:rsidR="00C60AB6" w:rsidRPr="003D7DB2">
        <w:rPr>
          <w:rStyle w:val="apple-converted-space"/>
          <w:rFonts w:ascii="Times New Roman" w:hAnsi="Times New Roman" w:cs="Times New Roman"/>
          <w:b/>
          <w:sz w:val="24"/>
          <w:szCs w:val="28"/>
          <w:shd w:val="clear" w:color="auto" w:fill="FFFFFF"/>
          <w:lang w:val="kk-KZ"/>
        </w:rPr>
        <w:t>:</w:t>
      </w:r>
      <w:r>
        <w:rPr>
          <w:rStyle w:val="apple-converted-space"/>
          <w:rFonts w:ascii="Times New Roman" w:hAnsi="Times New Roman" w:cs="Times New Roman"/>
          <w:sz w:val="24"/>
          <w:szCs w:val="28"/>
          <w:shd w:val="clear" w:color="auto" w:fill="FFFFFF"/>
          <w:lang w:val="kk-KZ"/>
        </w:rPr>
        <w:t>қазіргі таңдағы психологиялық ғылымның өзекті мәселелерін Т.Т.Тәжібаев идеялары және «РУХАНИ ЖАҢҒЫРУ» мемлекеттік бағдарламасы контекстінде талқылау және олардың шешімдерін іздеу; ғылыми және қолданбалы нәтижелермен және зерттеу тәжірибесімен алмасу; ғалымдар, оқытушылар, студенттер, магистранттар, докторанттар және қызығушылық танытушы тұлғалар арасында ғылыми теориялық және тәжірибелік білімдерді тарату.</w:t>
      </w:r>
    </w:p>
    <w:p w:rsidR="003D7DB2" w:rsidRDefault="003D7DB2" w:rsidP="0033465A">
      <w:pPr>
        <w:spacing w:after="0" w:line="240" w:lineRule="auto"/>
        <w:contextualSpacing/>
        <w:jc w:val="both"/>
        <w:rPr>
          <w:rStyle w:val="apple-converted-space"/>
          <w:rFonts w:ascii="Times New Roman" w:hAnsi="Times New Roman" w:cs="Times New Roman"/>
          <w:sz w:val="24"/>
          <w:szCs w:val="28"/>
          <w:shd w:val="clear" w:color="auto" w:fill="FFFFFF"/>
          <w:lang w:val="kk-KZ"/>
        </w:rPr>
      </w:pPr>
      <w:r w:rsidRPr="003D7DB2">
        <w:rPr>
          <w:rStyle w:val="apple-converted-space"/>
          <w:rFonts w:ascii="Times New Roman" w:hAnsi="Times New Roman" w:cs="Times New Roman"/>
          <w:b/>
          <w:sz w:val="24"/>
          <w:szCs w:val="28"/>
          <w:shd w:val="clear" w:color="auto" w:fill="FFFFFF"/>
          <w:lang w:val="kk-KZ"/>
        </w:rPr>
        <w:t>Конференцияға қатысуға</w:t>
      </w:r>
      <w:r>
        <w:rPr>
          <w:rStyle w:val="apple-converted-space"/>
          <w:rFonts w:ascii="Times New Roman" w:hAnsi="Times New Roman" w:cs="Times New Roman"/>
          <w:sz w:val="24"/>
          <w:szCs w:val="28"/>
          <w:shd w:val="clear" w:color="auto" w:fill="FFFFFF"/>
          <w:lang w:val="kk-KZ"/>
        </w:rPr>
        <w:t xml:space="preserve"> ғалымдар, оқытушылар, психологтар, магистранттар, докторанттар, ЖОО студенттері, іргелес пәндердің (педагогика, әлеуметтік жұмыс, әлеуметтік педагогика және т.б.) мамандары шақырылады.</w:t>
      </w:r>
    </w:p>
    <w:p w:rsidR="000E7259" w:rsidRPr="00CF0EE3" w:rsidRDefault="00EA19C0" w:rsidP="00163CF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4745AF">
        <w:rPr>
          <w:rFonts w:ascii="Times New Roman" w:hAnsi="Times New Roman" w:cs="Times New Roman"/>
          <w:b/>
          <w:sz w:val="24"/>
          <w:szCs w:val="24"/>
          <w:lang w:val="kk-KZ"/>
        </w:rPr>
        <w:t>Жұмыс тілдері:</w:t>
      </w:r>
      <w:r w:rsidR="00CF0EE3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қазақ тілі, орыс тілі, ағылшын тілі.</w:t>
      </w:r>
    </w:p>
    <w:p w:rsidR="0033465A" w:rsidRPr="00CF0EE3" w:rsidRDefault="0033465A" w:rsidP="00163CF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</w:p>
    <w:p w:rsidR="00AB071C" w:rsidRPr="006627E4" w:rsidRDefault="00EA19C0" w:rsidP="004A13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Секциялардың тақырыптары</w:t>
      </w:r>
      <w:r w:rsidR="000E7259" w:rsidRPr="006627E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:</w:t>
      </w:r>
    </w:p>
    <w:p w:rsidR="00A208B3" w:rsidRPr="006627E4" w:rsidRDefault="003D7DB2" w:rsidP="006627E4">
      <w:pPr>
        <w:pStyle w:val="a6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Т.Тәжібаев идеялары және «РУХАНИ ЖАҢҒЫРУ» ұлтты рухани жандандыру бағдарламасы идеяларының контекстіндегі қазіргі таңдағы психологиялық-педагогикалық ой</w:t>
      </w:r>
    </w:p>
    <w:p w:rsidR="00A208B3" w:rsidRPr="006627E4" w:rsidRDefault="003D7DB2" w:rsidP="006627E4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Психологиялық және педагогикалық білім берудің өзекті сұрақтары</w:t>
      </w:r>
    </w:p>
    <w:p w:rsidR="00A208B3" w:rsidRPr="006627E4" w:rsidRDefault="003D7DB2" w:rsidP="006627E4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Қазіргі таңдағы білім берудің этнопедагогикалық және этнопсихологиялық аспектілері</w:t>
      </w:r>
    </w:p>
    <w:p w:rsidR="0074650A" w:rsidRPr="0074650A" w:rsidRDefault="0074650A" w:rsidP="00C00450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sz w:val="24"/>
          <w:szCs w:val="28"/>
        </w:rPr>
      </w:pPr>
      <w:r w:rsidRPr="0074650A">
        <w:rPr>
          <w:rFonts w:ascii="Times New Roman" w:hAnsi="Times New Roman" w:cs="Times New Roman"/>
          <w:sz w:val="24"/>
          <w:szCs w:val="28"/>
          <w:lang w:val="kk-KZ"/>
        </w:rPr>
        <w:t>М.М.Мұқановтың психологиялық мұрасы және оның идеяларының психологиялық-педагогикалық зерттеулерде дамуы</w:t>
      </w:r>
    </w:p>
    <w:p w:rsidR="00A208B3" w:rsidRPr="0074650A" w:rsidRDefault="0074650A" w:rsidP="00C00450">
      <w:pPr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Қолданбалы психологиялық және педагогикалық зерттеулер</w:t>
      </w:r>
    </w:p>
    <w:p w:rsidR="006627E4" w:rsidRPr="006627E4" w:rsidRDefault="006627E4" w:rsidP="006627E4">
      <w:pPr>
        <w:tabs>
          <w:tab w:val="left" w:pos="426"/>
          <w:tab w:val="left" w:pos="851"/>
        </w:tabs>
        <w:spacing w:after="0" w:line="240" w:lineRule="auto"/>
        <w:ind w:left="1134"/>
        <w:rPr>
          <w:sz w:val="24"/>
          <w:szCs w:val="28"/>
        </w:rPr>
      </w:pPr>
    </w:p>
    <w:p w:rsidR="00EA19C0" w:rsidRPr="00EA19C0" w:rsidRDefault="00EA19C0" w:rsidP="00EA19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19C0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Конференцияғақатысуөтініші, электронды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түрдегібаяндаманыңмәтіні 2018</w:t>
      </w:r>
      <w:r w:rsidRPr="00EA19C0">
        <w:rPr>
          <w:rFonts w:ascii="Times New Roman" w:eastAsia="Times New Roman" w:hAnsi="Times New Roman" w:cs="Times New Roman"/>
          <w:sz w:val="24"/>
          <w:szCs w:val="28"/>
          <w:lang w:eastAsia="ru-RU"/>
        </w:rPr>
        <w:t>жылдың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11ақпанына</w:t>
      </w:r>
      <w:r w:rsidRPr="00EA19C0">
        <w:rPr>
          <w:rFonts w:ascii="Times New Roman" w:eastAsia="Times New Roman" w:hAnsi="Times New Roman" w:cs="Times New Roman"/>
          <w:sz w:val="24"/>
          <w:szCs w:val="28"/>
          <w:lang w:eastAsia="ru-RU"/>
        </w:rPr>
        <w:t>дейін psychol.kaznu.2017@gmail.com электрондыпочтасынақабылданады.</w:t>
      </w:r>
    </w:p>
    <w:p w:rsidR="00EA19C0" w:rsidRPr="00EA19C0" w:rsidRDefault="00EA19C0" w:rsidP="00EA19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19C0">
        <w:rPr>
          <w:rFonts w:ascii="Times New Roman" w:eastAsia="Times New Roman" w:hAnsi="Times New Roman" w:cs="Times New Roman"/>
          <w:sz w:val="24"/>
          <w:szCs w:val="28"/>
          <w:lang w:eastAsia="ru-RU"/>
        </w:rPr>
        <w:t>Ұйымдастыружарнасыжариялануыменбірге – 4000 теңге.</w:t>
      </w:r>
    </w:p>
    <w:p w:rsidR="00EA19C0" w:rsidRPr="00EA19C0" w:rsidRDefault="00EA19C0" w:rsidP="00EA19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19C0">
        <w:rPr>
          <w:rFonts w:ascii="Times New Roman" w:eastAsia="Times New Roman" w:hAnsi="Times New Roman" w:cs="Times New Roman"/>
          <w:sz w:val="24"/>
          <w:szCs w:val="28"/>
          <w:lang w:eastAsia="ru-RU"/>
        </w:rPr>
        <w:t>ЖариялануталаптарынАқпараттықхаттынқосымшасынанқараңыз. Өтінішсізжәнеталапқасәйкескелмегенбаяндамажарияланбайды.</w:t>
      </w:r>
    </w:p>
    <w:p w:rsidR="00EA19C0" w:rsidRPr="00EA19C0" w:rsidRDefault="00EA19C0" w:rsidP="00EA19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19C0">
        <w:rPr>
          <w:rFonts w:ascii="Times New Roman" w:eastAsia="Times New Roman" w:hAnsi="Times New Roman" w:cs="Times New Roman"/>
          <w:sz w:val="24"/>
          <w:szCs w:val="28"/>
          <w:lang w:eastAsia="ru-RU"/>
        </w:rPr>
        <w:t>Жолақысы мен тұруақысышетелдікжәнешетелдікқатысушылардыңөзқаражатыесебінен.</w:t>
      </w:r>
    </w:p>
    <w:p w:rsidR="00EA19C0" w:rsidRDefault="00EA19C0" w:rsidP="00EA19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A19C0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Конференцияғақатыстыс</w:t>
      </w:r>
      <w:r w:rsidR="003D2165">
        <w:rPr>
          <w:rFonts w:ascii="Times New Roman" w:eastAsia="Times New Roman" w:hAnsi="Times New Roman" w:cs="Times New Roman"/>
          <w:sz w:val="24"/>
          <w:szCs w:val="28"/>
          <w:lang w:eastAsia="ru-RU"/>
        </w:rPr>
        <w:t>ұрақтарбойыншаҰйымдастыру коми</w:t>
      </w:r>
      <w:r w:rsidRPr="00EA19C0">
        <w:rPr>
          <w:rFonts w:ascii="Times New Roman" w:eastAsia="Times New Roman" w:hAnsi="Times New Roman" w:cs="Times New Roman"/>
          <w:sz w:val="24"/>
          <w:szCs w:val="28"/>
          <w:lang w:eastAsia="ru-RU"/>
        </w:rPr>
        <w:t>тет мүшелерінебайланысуларыңыздысұраймыз. Телефондары: +7 (727) 292 57 17 (+2131), + 7 7772068537 (Кудайб</w:t>
      </w:r>
      <w:r w:rsidR="003D2165">
        <w:rPr>
          <w:rFonts w:ascii="Times New Roman" w:eastAsia="Times New Roman" w:hAnsi="Times New Roman" w:cs="Times New Roman"/>
          <w:sz w:val="24"/>
          <w:szCs w:val="28"/>
          <w:lang w:eastAsia="ru-RU"/>
        </w:rPr>
        <w:t>ергеноваСандугашКансаровна)</w:t>
      </w:r>
      <w:r w:rsidRPr="00EA19C0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74650A" w:rsidRDefault="0074650A" w:rsidP="006627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74650A" w:rsidRDefault="0074650A" w:rsidP="006627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74650A" w:rsidRDefault="0074650A" w:rsidP="006627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74650A" w:rsidRPr="003D2165" w:rsidRDefault="0074650A" w:rsidP="006627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0E7259" w:rsidRPr="003D2165" w:rsidRDefault="003D2165" w:rsidP="006627E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ҚАТ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ru-RU"/>
        </w:rPr>
        <w:t>ЫСУШЫ ӨТІНІШІ</w:t>
      </w:r>
    </w:p>
    <w:p w:rsidR="006627E4" w:rsidRPr="006627E4" w:rsidRDefault="006627E4" w:rsidP="006627E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tbl>
      <w:tblPr>
        <w:tblW w:w="894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35"/>
        <w:gridCol w:w="4111"/>
      </w:tblGrid>
      <w:tr w:rsidR="000E7259" w:rsidRPr="006627E4" w:rsidTr="00EF697D">
        <w:trPr>
          <w:trHeight w:val="352"/>
          <w:tblCellSpacing w:w="0" w:type="dxa"/>
        </w:trPr>
        <w:tc>
          <w:tcPr>
            <w:tcW w:w="4835" w:type="dxa"/>
            <w:hideMark/>
          </w:tcPr>
          <w:p w:rsidR="000E7259" w:rsidRPr="006627E4" w:rsidRDefault="003D2165" w:rsidP="003D21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ТАӘ</w:t>
            </w:r>
            <w:r w:rsidR="000E7259" w:rsidRPr="006627E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 w:eastAsia="ru-RU"/>
              </w:rPr>
              <w:t>толық</w:t>
            </w:r>
            <w:r w:rsidR="000E7259" w:rsidRPr="006627E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4111" w:type="dxa"/>
            <w:hideMark/>
          </w:tcPr>
          <w:p w:rsidR="000E7259" w:rsidRPr="006627E4" w:rsidRDefault="000E7259" w:rsidP="00163C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627E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 </w:t>
            </w:r>
          </w:p>
        </w:tc>
      </w:tr>
      <w:tr w:rsidR="000E7259" w:rsidRPr="006627E4" w:rsidTr="00EF697D">
        <w:trPr>
          <w:trHeight w:val="335"/>
          <w:tblCellSpacing w:w="0" w:type="dxa"/>
        </w:trPr>
        <w:tc>
          <w:tcPr>
            <w:tcW w:w="4835" w:type="dxa"/>
            <w:hideMark/>
          </w:tcPr>
          <w:p w:rsidR="000E7259" w:rsidRPr="003D2165" w:rsidRDefault="003D2165" w:rsidP="00163C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Ғылыми дәрежесі, атағы</w:t>
            </w:r>
          </w:p>
        </w:tc>
        <w:tc>
          <w:tcPr>
            <w:tcW w:w="4111" w:type="dxa"/>
            <w:hideMark/>
          </w:tcPr>
          <w:p w:rsidR="000E7259" w:rsidRPr="006627E4" w:rsidRDefault="000E7259" w:rsidP="00163C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627E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 </w:t>
            </w:r>
          </w:p>
        </w:tc>
      </w:tr>
      <w:tr w:rsidR="000E7259" w:rsidRPr="006627E4" w:rsidTr="00EF697D">
        <w:trPr>
          <w:trHeight w:val="352"/>
          <w:tblCellSpacing w:w="0" w:type="dxa"/>
        </w:trPr>
        <w:tc>
          <w:tcPr>
            <w:tcW w:w="4835" w:type="dxa"/>
            <w:hideMark/>
          </w:tcPr>
          <w:p w:rsidR="000E7259" w:rsidRPr="003D2165" w:rsidRDefault="003D2165" w:rsidP="00163C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Жұмыс/оқу орны</w:t>
            </w:r>
          </w:p>
        </w:tc>
        <w:tc>
          <w:tcPr>
            <w:tcW w:w="4111" w:type="dxa"/>
            <w:hideMark/>
          </w:tcPr>
          <w:p w:rsidR="000E7259" w:rsidRPr="006627E4" w:rsidRDefault="000E7259" w:rsidP="00163C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627E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 </w:t>
            </w:r>
          </w:p>
        </w:tc>
      </w:tr>
      <w:tr w:rsidR="000E7259" w:rsidRPr="006627E4" w:rsidTr="00EF697D">
        <w:trPr>
          <w:trHeight w:val="352"/>
          <w:tblCellSpacing w:w="0" w:type="dxa"/>
        </w:trPr>
        <w:tc>
          <w:tcPr>
            <w:tcW w:w="4835" w:type="dxa"/>
            <w:hideMark/>
          </w:tcPr>
          <w:p w:rsidR="000E7259" w:rsidRPr="003D2165" w:rsidRDefault="003D2165" w:rsidP="00163C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Лауазымы</w:t>
            </w:r>
          </w:p>
        </w:tc>
        <w:tc>
          <w:tcPr>
            <w:tcW w:w="4111" w:type="dxa"/>
            <w:hideMark/>
          </w:tcPr>
          <w:p w:rsidR="000E7259" w:rsidRPr="006627E4" w:rsidRDefault="000E7259" w:rsidP="00163C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627E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 </w:t>
            </w:r>
          </w:p>
        </w:tc>
      </w:tr>
      <w:tr w:rsidR="000E7259" w:rsidRPr="006627E4" w:rsidTr="00EF697D">
        <w:trPr>
          <w:trHeight w:val="335"/>
          <w:tblCellSpacing w:w="0" w:type="dxa"/>
        </w:trPr>
        <w:tc>
          <w:tcPr>
            <w:tcW w:w="4835" w:type="dxa"/>
            <w:hideMark/>
          </w:tcPr>
          <w:p w:rsidR="000E7259" w:rsidRPr="006627E4" w:rsidRDefault="000E7259" w:rsidP="003D21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627E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</w:t>
            </w:r>
            <w:r w:rsidR="003D216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 w:eastAsia="ru-RU"/>
              </w:rPr>
              <w:t>шталық</w:t>
            </w:r>
            <w:r w:rsidRPr="006627E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адрес (</w:t>
            </w:r>
            <w:r w:rsidR="003D216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 w:eastAsia="ru-RU"/>
              </w:rPr>
              <w:t>индексімен</w:t>
            </w:r>
            <w:r w:rsidRPr="006627E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4111" w:type="dxa"/>
            <w:hideMark/>
          </w:tcPr>
          <w:p w:rsidR="000E7259" w:rsidRPr="006627E4" w:rsidRDefault="000E7259" w:rsidP="00163C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627E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 </w:t>
            </w:r>
          </w:p>
        </w:tc>
      </w:tr>
      <w:tr w:rsidR="000E7259" w:rsidRPr="006627E4" w:rsidTr="00EF697D">
        <w:trPr>
          <w:trHeight w:val="352"/>
          <w:tblCellSpacing w:w="0" w:type="dxa"/>
        </w:trPr>
        <w:tc>
          <w:tcPr>
            <w:tcW w:w="4835" w:type="dxa"/>
            <w:hideMark/>
          </w:tcPr>
          <w:p w:rsidR="000E7259" w:rsidRPr="003D2165" w:rsidRDefault="003D2165" w:rsidP="00163C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Баяндама тақырыбы</w:t>
            </w:r>
          </w:p>
        </w:tc>
        <w:tc>
          <w:tcPr>
            <w:tcW w:w="4111" w:type="dxa"/>
            <w:hideMark/>
          </w:tcPr>
          <w:p w:rsidR="000E7259" w:rsidRPr="006627E4" w:rsidRDefault="000E7259" w:rsidP="00163C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627E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 </w:t>
            </w:r>
          </w:p>
        </w:tc>
      </w:tr>
      <w:tr w:rsidR="000E7259" w:rsidRPr="006627E4" w:rsidTr="00EF697D">
        <w:trPr>
          <w:trHeight w:val="335"/>
          <w:tblCellSpacing w:w="0" w:type="dxa"/>
        </w:trPr>
        <w:tc>
          <w:tcPr>
            <w:tcW w:w="4835" w:type="dxa"/>
            <w:hideMark/>
          </w:tcPr>
          <w:p w:rsidR="000E7259" w:rsidRPr="003D2165" w:rsidRDefault="003D2165" w:rsidP="00163C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Бөлім</w:t>
            </w:r>
          </w:p>
        </w:tc>
        <w:tc>
          <w:tcPr>
            <w:tcW w:w="4111" w:type="dxa"/>
            <w:hideMark/>
          </w:tcPr>
          <w:p w:rsidR="000E7259" w:rsidRPr="006627E4" w:rsidRDefault="000E7259" w:rsidP="00163C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627E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 </w:t>
            </w:r>
          </w:p>
        </w:tc>
      </w:tr>
      <w:tr w:rsidR="000E7259" w:rsidRPr="006627E4" w:rsidTr="00EF697D">
        <w:trPr>
          <w:trHeight w:val="352"/>
          <w:tblCellSpacing w:w="0" w:type="dxa"/>
        </w:trPr>
        <w:tc>
          <w:tcPr>
            <w:tcW w:w="4835" w:type="dxa"/>
            <w:hideMark/>
          </w:tcPr>
          <w:p w:rsidR="000E7259" w:rsidRPr="003D2165" w:rsidRDefault="003D2165" w:rsidP="00163C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 w:eastAsia="ru-RU"/>
              </w:rPr>
              <w:t>Байланыс</w:t>
            </w:r>
            <w:r w:rsidR="000E7259" w:rsidRPr="006627E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телефон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жәнеэлектрондық</w:t>
            </w:r>
            <w:r w:rsidR="000E7259" w:rsidRPr="006627E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адрес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 w:eastAsia="ru-RU"/>
              </w:rPr>
              <w:t>і</w:t>
            </w:r>
          </w:p>
        </w:tc>
        <w:tc>
          <w:tcPr>
            <w:tcW w:w="4111" w:type="dxa"/>
            <w:hideMark/>
          </w:tcPr>
          <w:p w:rsidR="000E7259" w:rsidRPr="006627E4" w:rsidRDefault="000E7259" w:rsidP="00163C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627E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 </w:t>
            </w:r>
          </w:p>
        </w:tc>
      </w:tr>
      <w:tr w:rsidR="000E7259" w:rsidRPr="006627E4" w:rsidTr="00EF697D">
        <w:trPr>
          <w:trHeight w:val="352"/>
          <w:tblCellSpacing w:w="0" w:type="dxa"/>
        </w:trPr>
        <w:tc>
          <w:tcPr>
            <w:tcW w:w="4835" w:type="dxa"/>
            <w:hideMark/>
          </w:tcPr>
          <w:p w:rsidR="000E7259" w:rsidRPr="006627E4" w:rsidRDefault="003D2165" w:rsidP="003D216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Қатысу ф</w:t>
            </w:r>
            <w:r w:rsidR="000E7259" w:rsidRPr="006627E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орма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 w:eastAsia="ru-RU"/>
              </w:rPr>
              <w:t>сы</w:t>
            </w:r>
            <w:r w:rsidR="000E7259" w:rsidRPr="006627E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 w:eastAsia="ru-RU"/>
              </w:rPr>
              <w:t>күндізгі оқу/тек қана жарияланым</w:t>
            </w:r>
            <w:r w:rsidR="000E7259" w:rsidRPr="006627E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4111" w:type="dxa"/>
            <w:hideMark/>
          </w:tcPr>
          <w:p w:rsidR="000E7259" w:rsidRPr="006627E4" w:rsidRDefault="000E7259" w:rsidP="00163C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627E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 </w:t>
            </w:r>
          </w:p>
        </w:tc>
      </w:tr>
    </w:tbl>
    <w:p w:rsidR="005E4E9A" w:rsidRDefault="005E4E9A" w:rsidP="00163CFF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3D2165" w:rsidRPr="003D2165" w:rsidRDefault="003D2165" w:rsidP="003D216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  <w:r w:rsidRPr="003D2165"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t>ҚОСЫМША</w:t>
      </w:r>
    </w:p>
    <w:p w:rsidR="003D2165" w:rsidRPr="003D2165" w:rsidRDefault="003D2165" w:rsidP="003D216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ru-RU"/>
        </w:rPr>
      </w:pPr>
    </w:p>
    <w:p w:rsidR="003D2165" w:rsidRPr="003D2165" w:rsidRDefault="003D2165" w:rsidP="003D216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ru-RU"/>
        </w:rPr>
      </w:pPr>
      <w:r w:rsidRPr="003D2165"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ru-RU"/>
        </w:rPr>
        <w:t>Жарияланым  шарттары</w:t>
      </w:r>
    </w:p>
    <w:p w:rsidR="003D2165" w:rsidRPr="003D2165" w:rsidRDefault="003D2165" w:rsidP="003D216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8"/>
          <w:lang w:val="kk-KZ" w:eastAsia="ru-RU"/>
        </w:rPr>
      </w:pPr>
    </w:p>
    <w:p w:rsidR="003D2165" w:rsidRPr="003D2165" w:rsidRDefault="003D2165" w:rsidP="003D21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  <w:r w:rsidRPr="003D2165"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t>Баяндама мәтіні Microsoft word мәтіндік редакторында терілуі қажет. Қазақ тілі, орыс тілі және ағылшын тіліндегі баяндамалар  шрифті Times New Roman, өлшемі – 14, жол аралығы – 1, көлемі – 5 бетке дейін. Шеттері - 2 см әр жақ шеттен. Пайдаланған әдебиеттер тізімі мәтіннің соңында баяндамадағы сілтеме реті бойынша орналасады.</w:t>
      </w:r>
    </w:p>
    <w:p w:rsidR="003D2165" w:rsidRPr="003D2165" w:rsidRDefault="003D2165" w:rsidP="003D21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  <w:r w:rsidRPr="003D2165"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t xml:space="preserve">Мәтіндегі пайдаланған әдебиеттерге сілтеме нөмірі тік жақшаға алынады. Мысалы: [1, С.12]. </w:t>
      </w:r>
      <w:r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t>Түйіндеме қажет емес.</w:t>
      </w:r>
    </w:p>
    <w:p w:rsidR="003D2165" w:rsidRPr="003D2165" w:rsidRDefault="003D2165" w:rsidP="003D21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  <w:r w:rsidRPr="003D2165"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t>Баяндама мәтінінің, өтініштің (беттер нөмірленбейді, файлдың аты бірінші автордың тегімен сақталады, баяндама мен өтініш бір файлда тұрады) электрондық нұс</w:t>
      </w:r>
      <w:r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t>қ</w:t>
      </w:r>
      <w:r w:rsidRPr="003D2165"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t xml:space="preserve">асы </w:t>
      </w:r>
      <w:r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t>2018 жылдың 11 ақпанына дейін ұсынылуы тиіс. Жариялану талаптарына сәйкес келмейтін мақалалар қарастырылмайды</w:t>
      </w:r>
      <w:r w:rsidRPr="003D2165"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t>.</w:t>
      </w:r>
    </w:p>
    <w:p w:rsidR="003D2165" w:rsidRPr="003D2165" w:rsidRDefault="003D2165" w:rsidP="003D21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t>Баяндама авторының саны 4</w:t>
      </w:r>
      <w:r w:rsidRPr="003D2165"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  <w:t>-еуден аспауы қажет. Дайын материалдарды конференцияның басталуына дейін жарияламақ жоспарда, сол себепті уақытынан кейін келген немесе жариялану талаптарына сәйкес келмеген баяндамалар қабылданбайды.</w:t>
      </w:r>
    </w:p>
    <w:p w:rsidR="003D2165" w:rsidRDefault="003D2165" w:rsidP="00163CFF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8"/>
          <w:lang w:val="kk-KZ" w:eastAsia="ru-RU"/>
        </w:rPr>
      </w:pPr>
    </w:p>
    <w:p w:rsidR="00CF0EE3" w:rsidRPr="004745AF" w:rsidRDefault="00CF0EE3" w:rsidP="00CF0EE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4745AF">
        <w:rPr>
          <w:rFonts w:ascii="Times New Roman" w:hAnsi="Times New Roman"/>
          <w:b/>
          <w:sz w:val="24"/>
          <w:szCs w:val="24"/>
          <w:lang w:val="kk-KZ"/>
        </w:rPr>
        <w:t>БАЯНДАМА ЖАРИЯЛАУДЫҢ ҮЛГІСІ</w:t>
      </w:r>
    </w:p>
    <w:p w:rsidR="00CF0EE3" w:rsidRPr="004745AF" w:rsidRDefault="00CF0EE3" w:rsidP="00CF0EE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</w:p>
    <w:p w:rsidR="00CF0EE3" w:rsidRPr="00CF0EE3" w:rsidRDefault="00CF0EE3" w:rsidP="00CF0EE3">
      <w:pPr>
        <w:spacing w:after="0" w:line="240" w:lineRule="auto"/>
        <w:ind w:firstLine="284"/>
        <w:jc w:val="right"/>
        <w:rPr>
          <w:rFonts w:ascii="Times New Roman" w:hAnsi="Times New Roman"/>
          <w:sz w:val="24"/>
          <w:szCs w:val="24"/>
          <w:lang w:val="kk-KZ"/>
        </w:rPr>
      </w:pPr>
      <w:r w:rsidRPr="00CF0EE3">
        <w:rPr>
          <w:rFonts w:ascii="Times New Roman" w:hAnsi="Times New Roman"/>
          <w:sz w:val="24"/>
          <w:szCs w:val="24"/>
          <w:lang w:val="kk-KZ"/>
        </w:rPr>
        <w:t>Адилова Э.Т.</w:t>
      </w:r>
    </w:p>
    <w:p w:rsidR="00CF0EE3" w:rsidRDefault="00CF0EE3" w:rsidP="00CF0EE3">
      <w:pPr>
        <w:pStyle w:val="Default0"/>
        <w:ind w:firstLine="567"/>
        <w:jc w:val="right"/>
        <w:rPr>
          <w:color w:val="auto"/>
          <w:lang w:val="kk-KZ"/>
        </w:rPr>
      </w:pPr>
      <w:r w:rsidRPr="00CF0EE3">
        <w:rPr>
          <w:color w:val="auto"/>
          <w:lang w:val="kk-KZ"/>
        </w:rPr>
        <w:t>(Қазақстан Республикасы, Алматы қ.,</w:t>
      </w:r>
    </w:p>
    <w:p w:rsidR="00CF0EE3" w:rsidRPr="00CF0EE3" w:rsidRDefault="00CF0EE3" w:rsidP="00CF0EE3">
      <w:pPr>
        <w:pStyle w:val="Default0"/>
        <w:ind w:firstLine="567"/>
        <w:jc w:val="right"/>
        <w:rPr>
          <w:color w:val="auto"/>
          <w:lang w:val="kk-KZ"/>
        </w:rPr>
      </w:pPr>
      <w:r>
        <w:rPr>
          <w:color w:val="auto"/>
          <w:lang w:val="kk-KZ"/>
        </w:rPr>
        <w:t>әл</w:t>
      </w:r>
      <w:r w:rsidRPr="00CF0EE3">
        <w:rPr>
          <w:color w:val="auto"/>
          <w:lang w:val="kk-KZ"/>
        </w:rPr>
        <w:t>-Фараби атындағы Қазақ Ұлттық Университет)</w:t>
      </w:r>
    </w:p>
    <w:p w:rsidR="00CF0EE3" w:rsidRPr="004745AF" w:rsidRDefault="00CF0EE3" w:rsidP="00CF0EE3">
      <w:pPr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CF0EE3" w:rsidRPr="004745AF" w:rsidRDefault="00CF0EE3" w:rsidP="00CF0EE3">
      <w:pPr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745AF">
        <w:rPr>
          <w:rFonts w:ascii="Times New Roman" w:hAnsi="Times New Roman"/>
          <w:b/>
          <w:bCs/>
          <w:sz w:val="24"/>
          <w:szCs w:val="24"/>
          <w:lang w:val="kk-KZ"/>
        </w:rPr>
        <w:t>ӨЗІНЕ ҚАРЫМ-ҚАТЫНАС ЖӘНЕ ПСИХОЛОГИЯЛЫҚ ҚОРҒАНЫС ЖҮЙЕСІНІҢ ӨЗАРА БАЙЛАНЫС ЗЕРТТЕУІ</w:t>
      </w:r>
    </w:p>
    <w:p w:rsidR="00CF0EE3" w:rsidRPr="004745AF" w:rsidRDefault="00CF0EE3" w:rsidP="00CF0EE3">
      <w:pPr>
        <w:tabs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F0EE3" w:rsidRPr="004745AF" w:rsidRDefault="00CF0EE3" w:rsidP="00CF0E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745AF">
        <w:rPr>
          <w:rFonts w:ascii="Times New Roman" w:hAnsi="Times New Roman"/>
          <w:sz w:val="24"/>
          <w:szCs w:val="24"/>
          <w:lang w:val="kk-KZ"/>
        </w:rPr>
        <w:t>Заманауи психологияда жетекші ғалымдардың көбісі өзара қарым-қатынас және жеке адамның мінез-құлықтарының қорғаныс амалдарын зерттеулермен айналысады, бірақ психология ғылымында жасөспірімдік кезеңдегі психологиялық қорғаныс және жүйе арқылы психологиялық қорғаныс зерттеулері өз деңгейіне дейін толығымен зерттелген жоқ......</w:t>
      </w:r>
    </w:p>
    <w:p w:rsidR="00CF0EE3" w:rsidRPr="004745AF" w:rsidRDefault="00CF0EE3" w:rsidP="00CF0E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745AF">
        <w:rPr>
          <w:rFonts w:ascii="Times New Roman" w:hAnsi="Times New Roman"/>
          <w:sz w:val="24"/>
          <w:szCs w:val="24"/>
          <w:lang w:val="kk-KZ"/>
        </w:rPr>
        <w:t>Жасөспірімдік кезде жалпы даму циклінде  «еңбек, таным және қарым-қатынас жеке тұлға дамуының маңызды кезеңі және жеке даму субъектісі ретінде»[2, 108 б.]. «Жеке тұлғаның дамуының соңғы кезеңінің дербес дайындығы» [1, 208 б.];  маңызды орнын зерттеушілер әр түрлі сипаттайды.</w:t>
      </w:r>
    </w:p>
    <w:p w:rsidR="0074650A" w:rsidRDefault="0074650A" w:rsidP="00CF0E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4650A" w:rsidRDefault="0074650A" w:rsidP="00CF0E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CF0EE3" w:rsidRDefault="00CF0EE3" w:rsidP="00CF0EE3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4745AF">
        <w:rPr>
          <w:rFonts w:ascii="Times New Roman" w:hAnsi="Times New Roman"/>
          <w:sz w:val="24"/>
          <w:szCs w:val="24"/>
          <w:lang w:val="kk-KZ"/>
        </w:rPr>
        <w:t>1 Кесте -  Психологиялық қорғау механизмдерінің кездесу жиілігі,  %</w:t>
      </w:r>
    </w:p>
    <w:p w:rsidR="00CF0EE3" w:rsidRPr="004745AF" w:rsidRDefault="00CF0EE3" w:rsidP="00CF0EE3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auto"/>
        <w:tblLook w:val="04A0"/>
      </w:tblPr>
      <w:tblGrid>
        <w:gridCol w:w="2228"/>
        <w:gridCol w:w="2336"/>
        <w:gridCol w:w="2336"/>
        <w:gridCol w:w="2337"/>
      </w:tblGrid>
      <w:tr w:rsidR="00CF0EE3" w:rsidRPr="004745AF" w:rsidTr="00CF0EE3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E3" w:rsidRPr="00CF0EE3" w:rsidRDefault="00CF0EE3" w:rsidP="00CF0E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0EE3">
              <w:rPr>
                <w:rFonts w:ascii="Times New Roman" w:hAnsi="Times New Roman"/>
                <w:sz w:val="24"/>
                <w:szCs w:val="24"/>
                <w:lang w:val="kk-KZ"/>
              </w:rPr>
              <w:t>Қорғау механизмдері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E3" w:rsidRPr="00CF0EE3" w:rsidRDefault="00CF0EE3" w:rsidP="00CF0E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0EE3">
              <w:rPr>
                <w:rFonts w:ascii="Times New Roman" w:hAnsi="Times New Roman"/>
                <w:sz w:val="24"/>
                <w:szCs w:val="24"/>
                <w:lang w:val="kk-KZ"/>
              </w:rPr>
              <w:t>Қыздар тобы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E3" w:rsidRPr="00CF0EE3" w:rsidRDefault="00CF0EE3" w:rsidP="00CF0E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0EE3">
              <w:rPr>
                <w:rFonts w:ascii="Times New Roman" w:hAnsi="Times New Roman"/>
                <w:sz w:val="24"/>
                <w:szCs w:val="24"/>
                <w:lang w:val="kk-KZ"/>
              </w:rPr>
              <w:t>Ер балалар тобы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E3" w:rsidRPr="00CF0EE3" w:rsidRDefault="00CF0EE3" w:rsidP="00CF0E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0EE3">
              <w:rPr>
                <w:rFonts w:ascii="Times New Roman" w:hAnsi="Times New Roman"/>
                <w:sz w:val="24"/>
                <w:szCs w:val="24"/>
                <w:lang w:val="kk-KZ"/>
              </w:rPr>
              <w:t>Жалпы алғанда</w:t>
            </w:r>
          </w:p>
        </w:tc>
      </w:tr>
      <w:tr w:rsidR="00CF0EE3" w:rsidRPr="004745AF" w:rsidTr="00CF0EE3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E3" w:rsidRPr="00CF0EE3" w:rsidRDefault="00CF0EE3" w:rsidP="00CF0E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0EE3">
              <w:rPr>
                <w:rFonts w:ascii="Times New Roman" w:hAnsi="Times New Roman"/>
                <w:sz w:val="24"/>
                <w:szCs w:val="24"/>
                <w:lang w:val="kk-KZ"/>
              </w:rPr>
              <w:t>Ығыстыру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E3" w:rsidRPr="00CF0EE3" w:rsidRDefault="00CF0EE3" w:rsidP="00CF0E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E3">
              <w:rPr>
                <w:rFonts w:ascii="Times New Roman" w:hAnsi="Times New Roman"/>
                <w:sz w:val="24"/>
                <w:szCs w:val="24"/>
              </w:rPr>
              <w:t>36%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E3" w:rsidRPr="00CF0EE3" w:rsidRDefault="00CF0EE3" w:rsidP="00CF0E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E3">
              <w:rPr>
                <w:rFonts w:ascii="Times New Roman" w:hAnsi="Times New Roman"/>
                <w:sz w:val="24"/>
                <w:szCs w:val="24"/>
              </w:rPr>
              <w:t>36%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E3" w:rsidRPr="00CF0EE3" w:rsidRDefault="00CF0EE3" w:rsidP="00CF0E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E3">
              <w:rPr>
                <w:rFonts w:ascii="Times New Roman" w:hAnsi="Times New Roman"/>
                <w:sz w:val="24"/>
                <w:szCs w:val="24"/>
              </w:rPr>
              <w:t>36%</w:t>
            </w:r>
          </w:p>
        </w:tc>
      </w:tr>
      <w:tr w:rsidR="00CF0EE3" w:rsidRPr="004745AF" w:rsidTr="00CF0EE3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E3" w:rsidRPr="00CF0EE3" w:rsidRDefault="00CF0EE3" w:rsidP="00CF0E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E3">
              <w:rPr>
                <w:rFonts w:ascii="Times New Roman" w:hAnsi="Times New Roman"/>
                <w:sz w:val="24"/>
                <w:szCs w:val="24"/>
              </w:rPr>
              <w:t>Регресс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E3" w:rsidRPr="00CF0EE3" w:rsidRDefault="00CF0EE3" w:rsidP="00CF0E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E3">
              <w:rPr>
                <w:rFonts w:ascii="Times New Roman" w:hAnsi="Times New Roman"/>
                <w:sz w:val="24"/>
                <w:szCs w:val="24"/>
              </w:rPr>
              <w:t>28%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E3" w:rsidRPr="00CF0EE3" w:rsidRDefault="00CF0EE3" w:rsidP="00CF0E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E3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E3" w:rsidRPr="00CF0EE3" w:rsidRDefault="00CF0EE3" w:rsidP="00CF0E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E3">
              <w:rPr>
                <w:rFonts w:ascii="Times New Roman" w:hAnsi="Times New Roman"/>
                <w:sz w:val="24"/>
                <w:szCs w:val="24"/>
              </w:rPr>
              <w:t>24%</w:t>
            </w:r>
          </w:p>
        </w:tc>
      </w:tr>
      <w:tr w:rsidR="00CF0EE3" w:rsidRPr="004745AF" w:rsidTr="00CF0EE3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E3" w:rsidRPr="00CF0EE3" w:rsidRDefault="00CF0EE3" w:rsidP="00CF0E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E3">
              <w:rPr>
                <w:rFonts w:ascii="Times New Roman" w:hAnsi="Times New Roman"/>
                <w:sz w:val="24"/>
                <w:szCs w:val="24"/>
                <w:lang w:val="kk-KZ"/>
              </w:rPr>
              <w:t>Аустыру</w:t>
            </w:r>
            <w:r w:rsidRPr="00CF0EE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E3" w:rsidRPr="00CF0EE3" w:rsidRDefault="00CF0EE3" w:rsidP="00CF0E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E3">
              <w:rPr>
                <w:rFonts w:ascii="Times New Roman" w:hAnsi="Times New Roman"/>
                <w:sz w:val="24"/>
                <w:szCs w:val="24"/>
              </w:rPr>
              <w:t>24%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E3" w:rsidRPr="00CF0EE3" w:rsidRDefault="00CF0EE3" w:rsidP="00CF0E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E3">
              <w:rPr>
                <w:rFonts w:ascii="Times New Roman" w:hAnsi="Times New Roman"/>
                <w:sz w:val="24"/>
                <w:szCs w:val="24"/>
              </w:rPr>
              <w:t>8%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E3" w:rsidRPr="00CF0EE3" w:rsidRDefault="00CF0EE3" w:rsidP="00CF0E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E3">
              <w:rPr>
                <w:rFonts w:ascii="Times New Roman" w:hAnsi="Times New Roman"/>
                <w:sz w:val="24"/>
                <w:szCs w:val="24"/>
              </w:rPr>
              <w:t>16%</w:t>
            </w:r>
          </w:p>
        </w:tc>
      </w:tr>
      <w:tr w:rsidR="00CF0EE3" w:rsidRPr="004745AF" w:rsidTr="00CF0EE3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E3" w:rsidRPr="00CF0EE3" w:rsidRDefault="00CF0EE3" w:rsidP="00CF0E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0EE3">
              <w:rPr>
                <w:rFonts w:ascii="Times New Roman" w:hAnsi="Times New Roman"/>
                <w:sz w:val="24"/>
                <w:szCs w:val="24"/>
                <w:lang w:val="kk-KZ"/>
              </w:rPr>
              <w:t>Бас тарту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E3" w:rsidRPr="00CF0EE3" w:rsidRDefault="00CF0EE3" w:rsidP="00CF0E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E3">
              <w:rPr>
                <w:rFonts w:ascii="Times New Roman" w:hAnsi="Times New Roman"/>
                <w:sz w:val="24"/>
                <w:szCs w:val="24"/>
              </w:rPr>
              <w:t>44%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E3" w:rsidRPr="00CF0EE3" w:rsidRDefault="00CF0EE3" w:rsidP="00CF0E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E3">
              <w:rPr>
                <w:rFonts w:ascii="Times New Roman" w:hAnsi="Times New Roman"/>
                <w:sz w:val="24"/>
                <w:szCs w:val="24"/>
              </w:rPr>
              <w:t>32%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E3" w:rsidRPr="00CF0EE3" w:rsidRDefault="00CF0EE3" w:rsidP="00CF0E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E3">
              <w:rPr>
                <w:rFonts w:ascii="Times New Roman" w:hAnsi="Times New Roman"/>
                <w:sz w:val="24"/>
                <w:szCs w:val="24"/>
              </w:rPr>
              <w:t>38%</w:t>
            </w:r>
          </w:p>
        </w:tc>
      </w:tr>
      <w:tr w:rsidR="00CF0EE3" w:rsidRPr="004745AF" w:rsidTr="00CF0EE3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E3" w:rsidRPr="00CF0EE3" w:rsidRDefault="00CF0EE3" w:rsidP="00CF0E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E3">
              <w:rPr>
                <w:rFonts w:ascii="Times New Roman" w:hAnsi="Times New Roman"/>
                <w:sz w:val="24"/>
                <w:szCs w:val="24"/>
                <w:lang w:val="kk-KZ"/>
              </w:rPr>
              <w:t>Жобалау</w:t>
            </w:r>
            <w:r w:rsidRPr="00CF0EE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E3" w:rsidRPr="00CF0EE3" w:rsidRDefault="00CF0EE3" w:rsidP="00CF0E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E3">
              <w:rPr>
                <w:rFonts w:ascii="Times New Roman" w:hAnsi="Times New Roman"/>
                <w:sz w:val="24"/>
                <w:szCs w:val="24"/>
              </w:rPr>
              <w:t>84%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E3" w:rsidRPr="00CF0EE3" w:rsidRDefault="00CF0EE3" w:rsidP="00CF0E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E3">
              <w:rPr>
                <w:rFonts w:ascii="Times New Roman" w:hAnsi="Times New Roman"/>
                <w:sz w:val="24"/>
                <w:szCs w:val="24"/>
              </w:rPr>
              <w:t>56%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E3" w:rsidRPr="00CF0EE3" w:rsidRDefault="00CF0EE3" w:rsidP="00CF0E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E3"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</w:tr>
      <w:tr w:rsidR="00CF0EE3" w:rsidRPr="004745AF" w:rsidTr="00CF0EE3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E3" w:rsidRPr="00CF0EE3" w:rsidRDefault="00CF0EE3" w:rsidP="00CF0E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0EE3">
              <w:rPr>
                <w:rFonts w:ascii="Times New Roman" w:hAnsi="Times New Roman"/>
                <w:sz w:val="24"/>
                <w:szCs w:val="24"/>
                <w:lang w:val="kk-KZ"/>
              </w:rPr>
              <w:t>Өтемақы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E3" w:rsidRPr="00CF0EE3" w:rsidRDefault="00CF0EE3" w:rsidP="00CF0E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E3">
              <w:rPr>
                <w:rFonts w:ascii="Times New Roman" w:hAnsi="Times New Roman"/>
                <w:sz w:val="24"/>
                <w:szCs w:val="24"/>
              </w:rPr>
              <w:t>44%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E3" w:rsidRPr="00CF0EE3" w:rsidRDefault="00CF0EE3" w:rsidP="00CF0E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E3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E3" w:rsidRPr="00CF0EE3" w:rsidRDefault="00CF0EE3" w:rsidP="00CF0E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E3">
              <w:rPr>
                <w:rFonts w:ascii="Times New Roman" w:hAnsi="Times New Roman"/>
                <w:sz w:val="24"/>
                <w:szCs w:val="24"/>
              </w:rPr>
              <w:t>42%</w:t>
            </w:r>
          </w:p>
        </w:tc>
      </w:tr>
      <w:tr w:rsidR="00CF0EE3" w:rsidRPr="004745AF" w:rsidTr="00CF0EE3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E3" w:rsidRPr="00CF0EE3" w:rsidRDefault="00CF0EE3" w:rsidP="00CF0E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E3">
              <w:rPr>
                <w:rFonts w:ascii="Times New Roman" w:hAnsi="Times New Roman"/>
                <w:sz w:val="24"/>
                <w:szCs w:val="24"/>
                <w:lang w:val="kk-KZ"/>
              </w:rPr>
              <w:t>Белсенді өтемақы</w:t>
            </w:r>
            <w:r w:rsidRPr="00CF0EE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E3" w:rsidRPr="00CF0EE3" w:rsidRDefault="00CF0EE3" w:rsidP="00CF0E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E3">
              <w:rPr>
                <w:rFonts w:ascii="Times New Roman" w:hAnsi="Times New Roman"/>
                <w:sz w:val="24"/>
                <w:szCs w:val="24"/>
              </w:rPr>
              <w:t>52%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E3" w:rsidRPr="00CF0EE3" w:rsidRDefault="00CF0EE3" w:rsidP="00CF0E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E3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E3" w:rsidRPr="00CF0EE3" w:rsidRDefault="00CF0EE3" w:rsidP="00CF0E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E3">
              <w:rPr>
                <w:rFonts w:ascii="Times New Roman" w:hAnsi="Times New Roman"/>
                <w:sz w:val="24"/>
                <w:szCs w:val="24"/>
              </w:rPr>
              <w:t>36%</w:t>
            </w:r>
          </w:p>
        </w:tc>
      </w:tr>
      <w:tr w:rsidR="00CF0EE3" w:rsidRPr="004745AF" w:rsidTr="00CF0EE3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E3" w:rsidRPr="00CF0EE3" w:rsidRDefault="00CF0EE3" w:rsidP="00CF0E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0EE3">
              <w:rPr>
                <w:rFonts w:ascii="Times New Roman" w:hAnsi="Times New Roman"/>
                <w:sz w:val="24"/>
                <w:szCs w:val="24"/>
                <w:lang w:val="kk-KZ"/>
              </w:rPr>
              <w:t>Оңтайландыру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E3" w:rsidRPr="00CF0EE3" w:rsidRDefault="00CF0EE3" w:rsidP="00CF0E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E3">
              <w:rPr>
                <w:rFonts w:ascii="Times New Roman" w:hAnsi="Times New Roman"/>
                <w:sz w:val="24"/>
                <w:szCs w:val="24"/>
              </w:rPr>
              <w:t>72%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E3" w:rsidRPr="00CF0EE3" w:rsidRDefault="00CF0EE3" w:rsidP="00CF0E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E3">
              <w:rPr>
                <w:rFonts w:ascii="Times New Roman" w:hAnsi="Times New Roman"/>
                <w:sz w:val="24"/>
                <w:szCs w:val="24"/>
              </w:rPr>
              <w:t>64%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E3" w:rsidRPr="00CF0EE3" w:rsidRDefault="00CF0EE3" w:rsidP="00CF0E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E3">
              <w:rPr>
                <w:rFonts w:ascii="Times New Roman" w:hAnsi="Times New Roman"/>
                <w:sz w:val="24"/>
                <w:szCs w:val="24"/>
              </w:rPr>
              <w:t>68%</w:t>
            </w:r>
          </w:p>
        </w:tc>
      </w:tr>
      <w:tr w:rsidR="00CF0EE3" w:rsidRPr="004745AF" w:rsidTr="00CF0EE3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E3" w:rsidRPr="00CF0EE3" w:rsidRDefault="00CF0EE3" w:rsidP="00CF0E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0EE3">
              <w:rPr>
                <w:rFonts w:ascii="Times New Roman" w:hAnsi="Times New Roman"/>
                <w:sz w:val="24"/>
                <w:szCs w:val="24"/>
                <w:lang w:val="kk-KZ"/>
              </w:rPr>
              <w:t>Жалпы қорғау кернеулігі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E3" w:rsidRPr="00CF0EE3" w:rsidRDefault="00CF0EE3" w:rsidP="00CF0E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E3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E3" w:rsidRPr="00CF0EE3" w:rsidRDefault="00CF0EE3" w:rsidP="00CF0E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E3">
              <w:rPr>
                <w:rFonts w:ascii="Times New Roman" w:hAnsi="Times New Roman"/>
                <w:sz w:val="24"/>
                <w:szCs w:val="24"/>
              </w:rPr>
              <w:t>48%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E3" w:rsidRPr="00CF0EE3" w:rsidRDefault="00CF0EE3" w:rsidP="00CF0E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E3">
              <w:rPr>
                <w:rFonts w:ascii="Times New Roman" w:hAnsi="Times New Roman"/>
                <w:sz w:val="24"/>
                <w:szCs w:val="24"/>
              </w:rPr>
              <w:t>44%</w:t>
            </w:r>
          </w:p>
        </w:tc>
      </w:tr>
      <w:tr w:rsidR="00CF0EE3" w:rsidRPr="004745AF" w:rsidTr="00CF0EE3"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E3" w:rsidRPr="004745AF" w:rsidRDefault="00CF0EE3" w:rsidP="0084105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E3" w:rsidRPr="004745AF" w:rsidRDefault="00CF0EE3" w:rsidP="0084105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E3" w:rsidRPr="004745AF" w:rsidRDefault="00CF0EE3" w:rsidP="0084105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EE3" w:rsidRPr="004745AF" w:rsidRDefault="00CF0EE3" w:rsidP="0084105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0EE3" w:rsidRDefault="00CF0EE3" w:rsidP="00CF0EE3">
      <w:pPr>
        <w:tabs>
          <w:tab w:val="left" w:pos="993"/>
        </w:tabs>
        <w:spacing w:after="0" w:line="240" w:lineRule="auto"/>
        <w:rPr>
          <w:b/>
          <w:lang w:val="kk-KZ"/>
        </w:rPr>
      </w:pPr>
      <w:r w:rsidRPr="004745AF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584835</wp:posOffset>
            </wp:positionH>
            <wp:positionV relativeFrom="paragraph">
              <wp:posOffset>451485</wp:posOffset>
            </wp:positionV>
            <wp:extent cx="4914900" cy="2895600"/>
            <wp:effectExtent l="19050" t="0" r="19050" b="0"/>
            <wp:wrapTopAndBottom/>
            <wp:docPr id="1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CF0EE3" w:rsidRDefault="00CF0EE3" w:rsidP="00CF0EE3">
      <w:pPr>
        <w:tabs>
          <w:tab w:val="left" w:pos="993"/>
        </w:tabs>
        <w:spacing w:after="0" w:line="240" w:lineRule="auto"/>
        <w:rPr>
          <w:b/>
          <w:lang w:val="kk-KZ"/>
        </w:rPr>
      </w:pPr>
    </w:p>
    <w:p w:rsidR="00CF0EE3" w:rsidRPr="00CF0EE3" w:rsidRDefault="00CF0EE3" w:rsidP="00CF0EE3">
      <w:pPr>
        <w:tabs>
          <w:tab w:val="left" w:pos="993"/>
        </w:tabs>
        <w:spacing w:after="0" w:line="240" w:lineRule="auto"/>
        <w:rPr>
          <w:b/>
          <w:lang w:val="kk-KZ"/>
        </w:rPr>
      </w:pPr>
    </w:p>
    <w:p w:rsidR="00CF0EE3" w:rsidRDefault="00CF0EE3" w:rsidP="00CF0EE3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CF0EE3">
        <w:rPr>
          <w:rFonts w:ascii="Times New Roman" w:hAnsi="Times New Roman"/>
          <w:sz w:val="24"/>
          <w:szCs w:val="24"/>
          <w:lang w:val="kk-KZ"/>
        </w:rPr>
        <w:t>1 Сурет</w:t>
      </w:r>
      <w:r w:rsidRPr="004745AF">
        <w:rPr>
          <w:rFonts w:ascii="Times New Roman" w:hAnsi="Times New Roman"/>
          <w:sz w:val="24"/>
          <w:szCs w:val="24"/>
          <w:lang w:val="kk-KZ"/>
        </w:rPr>
        <w:t xml:space="preserve"> – Психологиялық қорғаныс айқындалығын жоғарлату тетіктері</w:t>
      </w:r>
    </w:p>
    <w:p w:rsidR="00CF0EE3" w:rsidRPr="00CF0EE3" w:rsidRDefault="00CF0EE3" w:rsidP="00CF0EE3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CF0EE3" w:rsidRPr="00CF0EE3" w:rsidRDefault="00CF0EE3" w:rsidP="00CF0EE3">
      <w:pPr>
        <w:pStyle w:val="a6"/>
        <w:tabs>
          <w:tab w:val="left" w:pos="851"/>
        </w:tabs>
        <w:ind w:left="36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F0EE3">
        <w:rPr>
          <w:rFonts w:ascii="Times New Roman" w:hAnsi="Times New Roman" w:cs="Times New Roman"/>
          <w:sz w:val="24"/>
          <w:szCs w:val="24"/>
          <w:lang w:val="kk-KZ"/>
        </w:rPr>
        <w:t>Әдебиеттер</w:t>
      </w:r>
    </w:p>
    <w:p w:rsidR="00CF0EE3" w:rsidRPr="00CF0EE3" w:rsidRDefault="00CF0EE3" w:rsidP="00CF0EE3">
      <w:pPr>
        <w:pStyle w:val="a6"/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CF0EE3">
        <w:rPr>
          <w:rFonts w:ascii="Times New Roman" w:hAnsi="Times New Roman" w:cs="Times New Roman"/>
          <w:sz w:val="24"/>
          <w:szCs w:val="24"/>
          <w:lang w:val="kk-KZ"/>
        </w:rPr>
        <w:t>Михайлычев Е.А. Дидактикалық тестілеу. - М.: Халықтық білім.- 2001, 432 б.</w:t>
      </w:r>
    </w:p>
    <w:p w:rsidR="00CF0EE3" w:rsidRPr="00CF0EE3" w:rsidRDefault="00CF0EE3" w:rsidP="00CF0EE3">
      <w:pPr>
        <w:pStyle w:val="a6"/>
        <w:widowControl w:val="0"/>
        <w:tabs>
          <w:tab w:val="left" w:pos="426"/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CF0EE3">
        <w:rPr>
          <w:rFonts w:ascii="Times New Roman" w:hAnsi="Times New Roman" w:cs="Times New Roman"/>
          <w:sz w:val="24"/>
          <w:szCs w:val="24"/>
          <w:lang w:val="kk-KZ"/>
        </w:rPr>
        <w:t>Ташимова Ф., Бурдина Е.И., Ризулла А.Р., Кожикова А. Студенттердің әлем туралы хабардар болуының ерекшеліктері және олардың мінез-құлық тәртібі// Абая атындағы КазҰПУ психология хабаршысы. - 2014, № 2(39), Б. 48-59</w:t>
      </w:r>
    </w:p>
    <w:p w:rsidR="00163CFF" w:rsidRPr="00CF0EE3" w:rsidRDefault="00CF0EE3" w:rsidP="00CF0EE3">
      <w:pPr>
        <w:widowControl w:val="0"/>
        <w:tabs>
          <w:tab w:val="left" w:pos="426"/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CF0EE3">
        <w:rPr>
          <w:rFonts w:ascii="Times New Roman" w:hAnsi="Times New Roman" w:cs="Times New Roman"/>
          <w:sz w:val="24"/>
          <w:szCs w:val="24"/>
          <w:lang w:val="kk-KZ"/>
        </w:rPr>
        <w:t>Адамның психология</w:t>
      </w:r>
      <w:r w:rsidR="0074650A">
        <w:rPr>
          <w:rFonts w:ascii="Times New Roman" w:hAnsi="Times New Roman" w:cs="Times New Roman"/>
          <w:sz w:val="24"/>
          <w:szCs w:val="24"/>
          <w:lang w:val="kk-KZ"/>
        </w:rPr>
        <w:t xml:space="preserve">лық қорғау механизмінің түрлері </w:t>
      </w:r>
      <w:r w:rsidRPr="00CF0EE3">
        <w:rPr>
          <w:rFonts w:ascii="Times New Roman" w:hAnsi="Times New Roman" w:cs="Times New Roman"/>
          <w:sz w:val="24"/>
          <w:szCs w:val="24"/>
          <w:lang w:val="kk-KZ"/>
        </w:rPr>
        <w:t>URL: </w:t>
      </w:r>
      <w:hyperlink r:id="rId8" w:history="1">
        <w:r w:rsidRPr="00CF0EE3">
          <w:rPr>
            <w:rStyle w:val="aa"/>
            <w:rFonts w:ascii="Times New Roman" w:hAnsi="Times New Roman" w:cs="Times New Roman"/>
            <w:sz w:val="24"/>
            <w:szCs w:val="24"/>
            <w:lang w:val="kk-KZ"/>
          </w:rPr>
          <w:t>http://vseostresse.ru/psihicheskie-rasstroystva/zashchitnye-mekhanizmy</w:t>
        </w:r>
      </w:hyperlink>
      <w:r w:rsidRPr="00CF0EE3">
        <w:rPr>
          <w:rFonts w:ascii="Times New Roman" w:hAnsi="Times New Roman" w:cs="Times New Roman"/>
          <w:sz w:val="24"/>
          <w:szCs w:val="24"/>
          <w:lang w:val="kk-KZ"/>
        </w:rPr>
        <w:t xml:space="preserve"> (қараған күні: 12.09.2017).</w:t>
      </w:r>
    </w:p>
    <w:sectPr w:rsidR="00163CFF" w:rsidRPr="00CF0EE3" w:rsidSect="00EF697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2296"/>
    <w:multiLevelType w:val="hybridMultilevel"/>
    <w:tmpl w:val="4DF8888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EC40C02"/>
    <w:multiLevelType w:val="multilevel"/>
    <w:tmpl w:val="1018B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6C6697"/>
    <w:multiLevelType w:val="hybridMultilevel"/>
    <w:tmpl w:val="827E8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B4FC1"/>
    <w:multiLevelType w:val="hybridMultilevel"/>
    <w:tmpl w:val="DEBA45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compat/>
  <w:rsids>
    <w:rsidRoot w:val="000E7259"/>
    <w:rsid w:val="00011D2A"/>
    <w:rsid w:val="000D0968"/>
    <w:rsid w:val="000E7259"/>
    <w:rsid w:val="00163CFF"/>
    <w:rsid w:val="001F0A8D"/>
    <w:rsid w:val="002E5F63"/>
    <w:rsid w:val="0033465A"/>
    <w:rsid w:val="003D2165"/>
    <w:rsid w:val="003D7DB2"/>
    <w:rsid w:val="00462325"/>
    <w:rsid w:val="004865CF"/>
    <w:rsid w:val="004A130F"/>
    <w:rsid w:val="005C08E2"/>
    <w:rsid w:val="005E4E9A"/>
    <w:rsid w:val="00603135"/>
    <w:rsid w:val="006627E4"/>
    <w:rsid w:val="0074650A"/>
    <w:rsid w:val="00792B71"/>
    <w:rsid w:val="0086173C"/>
    <w:rsid w:val="008D4D30"/>
    <w:rsid w:val="00A208B3"/>
    <w:rsid w:val="00AB071C"/>
    <w:rsid w:val="00B05F82"/>
    <w:rsid w:val="00B272BC"/>
    <w:rsid w:val="00C60AB6"/>
    <w:rsid w:val="00C86FC0"/>
    <w:rsid w:val="00CF0EE3"/>
    <w:rsid w:val="00EA19C0"/>
    <w:rsid w:val="00EF6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B71"/>
  </w:style>
  <w:style w:type="paragraph" w:styleId="2">
    <w:name w:val="heading 2"/>
    <w:basedOn w:val="a"/>
    <w:link w:val="20"/>
    <w:uiPriority w:val="9"/>
    <w:qFormat/>
    <w:rsid w:val="000E72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72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E7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7259"/>
    <w:rPr>
      <w:b/>
      <w:bCs/>
    </w:rPr>
  </w:style>
  <w:style w:type="paragraph" w:customStyle="1" w:styleId="default">
    <w:name w:val="default"/>
    <w:basedOn w:val="a"/>
    <w:rsid w:val="000E7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E7259"/>
    <w:rPr>
      <w:i/>
      <w:iCs/>
    </w:rPr>
  </w:style>
  <w:style w:type="character" w:customStyle="1" w:styleId="apple-converted-space">
    <w:name w:val="apple-converted-space"/>
    <w:basedOn w:val="a0"/>
    <w:rsid w:val="00C60AB6"/>
  </w:style>
  <w:style w:type="paragraph" w:styleId="a6">
    <w:name w:val="List Paragraph"/>
    <w:basedOn w:val="a"/>
    <w:uiPriority w:val="34"/>
    <w:qFormat/>
    <w:rsid w:val="00AB071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D4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4D3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D2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rsid w:val="00CF0E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aa">
    <w:name w:val="Hyperlink"/>
    <w:unhideWhenUsed/>
    <w:rsid w:val="00CF0E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1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3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eostresse.ru/psihicheskie-rasstroystva/zashchitnye-mekhanizmy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88;&#1072;&#1073;&#1086;&#1095;&#1080;&#1081;%20&#1089;&#1090;&#1086;&#1083;\&#1044;&#1080;&#1087;&#1083;&#1086;&#1084;&#1082;&#1072;%20&#1089;&#1072;&#1084;&#1086;&#1086;&#1090;&#1085;&#1086;&#1096;&#1077;&#1085;&#1080;&#1077;%20&#1080;%20&#1087;&#1089;&#1080;&#1093;&#1086;&#1083;&#1086;&#1075;&#1080;&#1095;&#1077;&#1089;&#1082;&#1072;&#1103;%20&#1079;&#1072;&#1097;&#1080;&#1090;&#1072;%20&#1083;&#1080;&#1095;&#1085;&#1086;&#1089;&#1090;&#1080;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Выраженность механизмов психологических защит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Лист12!$B$1</c:f>
              <c:strCache>
                <c:ptCount val="1"/>
                <c:pt idx="0">
                  <c:v>Среднестатистический показатель в группе девушек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Лист12!$A$2:$A$10</c:f>
              <c:strCache>
                <c:ptCount val="9"/>
                <c:pt idx="0">
                  <c:v>Вытеснение </c:v>
                </c:pt>
                <c:pt idx="1">
                  <c:v>Регрессия </c:v>
                </c:pt>
                <c:pt idx="2">
                  <c:v> Замещение *</c:v>
                </c:pt>
                <c:pt idx="3">
                  <c:v> Отрицание *</c:v>
                </c:pt>
                <c:pt idx="4">
                  <c:v> Проекция *</c:v>
                </c:pt>
                <c:pt idx="5">
                  <c:v>Компенсация </c:v>
                </c:pt>
                <c:pt idx="6">
                  <c:v>Гиперкомпенсация *</c:v>
                </c:pt>
                <c:pt idx="7">
                  <c:v> Рационализация </c:v>
                </c:pt>
                <c:pt idx="8">
                  <c:v>Общая напряженность всех защит</c:v>
                </c:pt>
              </c:strCache>
            </c:strRef>
          </c:cat>
          <c:val>
            <c:numRef>
              <c:f>Лист12!$B$2:$B$10</c:f>
              <c:numCache>
                <c:formatCode>General</c:formatCode>
                <c:ptCount val="9"/>
                <c:pt idx="0">
                  <c:v>27</c:v>
                </c:pt>
                <c:pt idx="1">
                  <c:v>30</c:v>
                </c:pt>
                <c:pt idx="2">
                  <c:v>24</c:v>
                </c:pt>
                <c:pt idx="3">
                  <c:v>41</c:v>
                </c:pt>
                <c:pt idx="4">
                  <c:v>58</c:v>
                </c:pt>
                <c:pt idx="5">
                  <c:v>33</c:v>
                </c:pt>
                <c:pt idx="6">
                  <c:v>39</c:v>
                </c:pt>
                <c:pt idx="7">
                  <c:v>45</c:v>
                </c:pt>
                <c:pt idx="8">
                  <c:v>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545-4EC3-AC72-5822C888EEE6}"/>
            </c:ext>
          </c:extLst>
        </c:ser>
        <c:ser>
          <c:idx val="1"/>
          <c:order val="1"/>
          <c:tx>
            <c:strRef>
              <c:f>Лист12!$C$1</c:f>
              <c:strCache>
                <c:ptCount val="1"/>
                <c:pt idx="0">
                  <c:v>Среднестатистический показатель в группе юношей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Лист12!$A$2:$A$10</c:f>
              <c:strCache>
                <c:ptCount val="9"/>
                <c:pt idx="0">
                  <c:v>Вытеснение </c:v>
                </c:pt>
                <c:pt idx="1">
                  <c:v>Регрессия </c:v>
                </c:pt>
                <c:pt idx="2">
                  <c:v> Замещение *</c:v>
                </c:pt>
                <c:pt idx="3">
                  <c:v> Отрицание *</c:v>
                </c:pt>
                <c:pt idx="4">
                  <c:v> Проекция *</c:v>
                </c:pt>
                <c:pt idx="5">
                  <c:v>Компенсация </c:v>
                </c:pt>
                <c:pt idx="6">
                  <c:v>Гиперкомпенсация *</c:v>
                </c:pt>
                <c:pt idx="7">
                  <c:v> Рационализация </c:v>
                </c:pt>
                <c:pt idx="8">
                  <c:v>Общая напряженность всех защит</c:v>
                </c:pt>
              </c:strCache>
            </c:strRef>
          </c:cat>
          <c:val>
            <c:numRef>
              <c:f>Лист12!$C$2:$C$10</c:f>
              <c:numCache>
                <c:formatCode>General</c:formatCode>
                <c:ptCount val="9"/>
                <c:pt idx="0">
                  <c:v>37</c:v>
                </c:pt>
                <c:pt idx="1">
                  <c:v>27</c:v>
                </c:pt>
                <c:pt idx="2">
                  <c:v>10</c:v>
                </c:pt>
                <c:pt idx="3">
                  <c:v>29</c:v>
                </c:pt>
                <c:pt idx="4">
                  <c:v>43</c:v>
                </c:pt>
                <c:pt idx="5">
                  <c:v>33</c:v>
                </c:pt>
                <c:pt idx="6">
                  <c:v>26</c:v>
                </c:pt>
                <c:pt idx="7">
                  <c:v>45</c:v>
                </c:pt>
                <c:pt idx="8">
                  <c:v>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545-4EC3-AC72-5822C888EEE6}"/>
            </c:ext>
          </c:extLst>
        </c:ser>
        <c:ser>
          <c:idx val="2"/>
          <c:order val="2"/>
          <c:tx>
            <c:strRef>
              <c:f>Лист12!$D$1</c:f>
              <c:strCache>
                <c:ptCount val="1"/>
                <c:pt idx="0">
                  <c:v>Среднестатистический показатель в целом по всей выборке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Лист12!$A$2:$A$10</c:f>
              <c:strCache>
                <c:ptCount val="9"/>
                <c:pt idx="0">
                  <c:v>Вытеснение </c:v>
                </c:pt>
                <c:pt idx="1">
                  <c:v>Регрессия </c:v>
                </c:pt>
                <c:pt idx="2">
                  <c:v> Замещение *</c:v>
                </c:pt>
                <c:pt idx="3">
                  <c:v> Отрицание *</c:v>
                </c:pt>
                <c:pt idx="4">
                  <c:v> Проекция *</c:v>
                </c:pt>
                <c:pt idx="5">
                  <c:v>Компенсация </c:v>
                </c:pt>
                <c:pt idx="6">
                  <c:v>Гиперкомпенсация *</c:v>
                </c:pt>
                <c:pt idx="7">
                  <c:v> Рационализация </c:v>
                </c:pt>
                <c:pt idx="8">
                  <c:v>Общая напряженность всех защит</c:v>
                </c:pt>
              </c:strCache>
            </c:strRef>
          </c:cat>
          <c:val>
            <c:numRef>
              <c:f>Лист12!$D$2:$D$10</c:f>
              <c:numCache>
                <c:formatCode>General</c:formatCode>
                <c:ptCount val="9"/>
                <c:pt idx="0">
                  <c:v>32</c:v>
                </c:pt>
                <c:pt idx="1">
                  <c:v>28</c:v>
                </c:pt>
                <c:pt idx="2">
                  <c:v>17</c:v>
                </c:pt>
                <c:pt idx="3">
                  <c:v>35</c:v>
                </c:pt>
                <c:pt idx="4">
                  <c:v>50</c:v>
                </c:pt>
                <c:pt idx="5">
                  <c:v>33</c:v>
                </c:pt>
                <c:pt idx="6">
                  <c:v>33</c:v>
                </c:pt>
                <c:pt idx="7">
                  <c:v>45</c:v>
                </c:pt>
                <c:pt idx="8">
                  <c:v>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545-4EC3-AC72-5822C888EEE6}"/>
            </c:ext>
          </c:extLst>
        </c:ser>
        <c:gapWidth val="219"/>
        <c:overlap val="-27"/>
        <c:axId val="130557440"/>
        <c:axId val="130558976"/>
      </c:barChart>
      <c:catAx>
        <c:axId val="13055744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558976"/>
        <c:crosses val="autoZero"/>
        <c:auto val="1"/>
        <c:lblAlgn val="ctr"/>
        <c:lblOffset val="100"/>
      </c:catAx>
      <c:valAx>
        <c:axId val="1305589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557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</cp:lastModifiedBy>
  <cp:revision>2</cp:revision>
  <dcterms:created xsi:type="dcterms:W3CDTF">2018-02-28T10:03:00Z</dcterms:created>
  <dcterms:modified xsi:type="dcterms:W3CDTF">2018-02-28T10:03:00Z</dcterms:modified>
</cp:coreProperties>
</file>